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D5" w:rsidRPr="00621473" w:rsidRDefault="001E06D5" w:rsidP="001E06D5">
      <w:pPr>
        <w:shd w:val="clear" w:color="auto" w:fill="FFFFFF"/>
        <w:spacing w:before="192" w:after="48" w:line="384" w:lineRule="atLeast"/>
        <w:ind w:left="249" w:right="244"/>
        <w:contextualSpacing/>
        <w:jc w:val="center"/>
        <w:outlineLvl w:val="2"/>
        <w:rPr>
          <w:rFonts w:ascii="Arial" w:eastAsia="Times New Roman" w:hAnsi="Arial" w:cs="Arial"/>
          <w:color w:val="000064"/>
          <w:sz w:val="25"/>
          <w:szCs w:val="25"/>
          <w:lang w:val="en"/>
        </w:rPr>
      </w:pPr>
      <w:bookmarkStart w:id="0" w:name="_GoBack"/>
      <w:bookmarkEnd w:id="0"/>
      <w:r w:rsidRPr="00621473">
        <w:rPr>
          <w:rFonts w:ascii="Arial" w:eastAsia="Times New Roman" w:hAnsi="Arial" w:cs="Arial"/>
          <w:color w:val="000064"/>
          <w:sz w:val="25"/>
          <w:szCs w:val="25"/>
          <w:lang w:val="en"/>
        </w:rPr>
        <w:t>NOTICE REGARDING WELLNESS PROGRAM</w:t>
      </w: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621473">
        <w:rPr>
          <w:rFonts w:ascii="Arial" w:eastAsia="Times New Roman" w:hAnsi="Arial" w:cs="Arial"/>
          <w:b/>
          <w:color w:val="333333"/>
          <w:sz w:val="18"/>
          <w:szCs w:val="18"/>
          <w:lang w:val="en"/>
        </w:rPr>
        <w:t>Bryant University Good Cent$ Wellness Program</w:t>
      </w:r>
      <w:r w:rsidRPr="00621473">
        <w:rPr>
          <w:rFonts w:ascii="Arial" w:eastAsia="Times New Roman" w:hAnsi="Arial" w:cs="Arial"/>
          <w:color w:val="333333"/>
          <w:sz w:val="18"/>
          <w:szCs w:val="18"/>
          <w:lang w:val="en"/>
        </w:rPr>
        <w:t xml:space="preserve"> is a voluntary wellness program available to all employees. The program is administered according to federal rules permitting employer-sponsored wellness </w:t>
      </w:r>
      <w:r w:rsidRPr="001E06D5">
        <w:rPr>
          <w:rFonts w:ascii="Arial" w:eastAsia="Times New Roman" w:hAnsi="Arial" w:cs="Arial"/>
          <w:color w:val="333333"/>
          <w:sz w:val="18"/>
          <w:szCs w:val="18"/>
          <w:lang w:val="en"/>
        </w:rPr>
        <w:t xml:space="preserve">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t>
      </w:r>
      <w:r w:rsidRPr="001E06D5">
        <w:rPr>
          <w:rFonts w:ascii="Arial" w:eastAsia="Times New Roman" w:hAnsi="Arial" w:cs="Arial"/>
          <w:b/>
          <w:color w:val="333333"/>
          <w:sz w:val="18"/>
          <w:szCs w:val="18"/>
          <w:lang w:val="en"/>
        </w:rPr>
        <w:t>may choose</w:t>
      </w:r>
      <w:r w:rsidRPr="001E06D5">
        <w:rPr>
          <w:rFonts w:ascii="Arial" w:eastAsia="Times New Roman" w:hAnsi="Arial" w:cs="Arial"/>
          <w:color w:val="333333"/>
          <w:sz w:val="18"/>
          <w:szCs w:val="18"/>
          <w:lang w:val="en"/>
        </w:rPr>
        <w:t xml:space="preserve">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You are not required to complete the HRA or to participate in the blood test or other medical examinations </w:t>
      </w:r>
      <w:r w:rsidRPr="001E06D5">
        <w:rPr>
          <w:rFonts w:ascii="Arial" w:eastAsia="Times New Roman" w:hAnsi="Arial" w:cs="Arial"/>
          <w:b/>
          <w:color w:val="333333"/>
          <w:sz w:val="18"/>
          <w:szCs w:val="18"/>
          <w:lang w:val="en"/>
        </w:rPr>
        <w:t>in order to participate in the wellness program</w:t>
      </w:r>
      <w:r w:rsidRPr="001E06D5">
        <w:rPr>
          <w:rFonts w:ascii="Arial" w:eastAsia="Times New Roman" w:hAnsi="Arial" w:cs="Arial"/>
          <w:color w:val="333333"/>
          <w:sz w:val="18"/>
          <w:szCs w:val="18"/>
          <w:lang w:val="en"/>
        </w:rPr>
        <w:t>.</w:t>
      </w:r>
    </w:p>
    <w:p w:rsidR="001E06D5" w:rsidRP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1E06D5">
        <w:rPr>
          <w:rFonts w:ascii="Arial" w:eastAsia="Times New Roman" w:hAnsi="Arial" w:cs="Arial"/>
          <w:color w:val="333333"/>
          <w:sz w:val="18"/>
          <w:szCs w:val="18"/>
          <w:lang w:val="en"/>
        </w:rPr>
        <w:t xml:space="preserve">However, </w:t>
      </w:r>
      <w:r w:rsidRPr="001E06D5">
        <w:rPr>
          <w:rFonts w:ascii="Arial" w:eastAsia="Times New Roman" w:hAnsi="Arial" w:cs="Arial"/>
          <w:b/>
          <w:color w:val="333333"/>
          <w:sz w:val="18"/>
          <w:szCs w:val="18"/>
          <w:lang w:val="en"/>
        </w:rPr>
        <w:t>employees who choose to participate in the wellness program will receive an incentive of $300 discount on annual health insurance premium for the following year if they complete an annual physical and two of the four programs (Dental Exam, Wellness Clinic (biometric screenings), Wellness Seminar, or Health Risk Assessment).</w:t>
      </w:r>
      <w:r w:rsidRPr="001E06D5">
        <w:rPr>
          <w:rFonts w:ascii="Arial" w:eastAsia="Times New Roman" w:hAnsi="Arial" w:cs="Arial"/>
          <w:color w:val="333333"/>
          <w:sz w:val="18"/>
          <w:szCs w:val="18"/>
          <w:lang w:val="en"/>
        </w:rPr>
        <w:t xml:space="preserve"> Although you are not required to complete the any of the programs noted above, only employees who fulfill the criteria will receive the incentive</w:t>
      </w:r>
      <w:r>
        <w:rPr>
          <w:rFonts w:ascii="Arial" w:eastAsia="Times New Roman" w:hAnsi="Arial" w:cs="Arial"/>
          <w:color w:val="333333"/>
          <w:sz w:val="18"/>
          <w:szCs w:val="18"/>
          <w:lang w:val="en"/>
        </w:rPr>
        <w:t>.</w:t>
      </w:r>
    </w:p>
    <w:p w:rsidR="001E06D5" w:rsidRP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Default="001E06D5" w:rsidP="001E06D5">
      <w:pPr>
        <w:shd w:val="clear" w:color="auto" w:fill="FFFFFF"/>
        <w:spacing w:before="96" w:after="192" w:line="384" w:lineRule="atLeast"/>
        <w:ind w:left="249" w:right="244"/>
        <w:contextualSpacing/>
        <w:rPr>
          <w:rFonts w:ascii="Arial" w:eastAsia="Times New Roman" w:hAnsi="Arial" w:cs="Arial"/>
          <w:b/>
          <w:color w:val="333333"/>
          <w:sz w:val="18"/>
          <w:szCs w:val="18"/>
          <w:lang w:val="en"/>
        </w:rPr>
      </w:pPr>
      <w:r w:rsidRPr="001E06D5">
        <w:rPr>
          <w:rFonts w:ascii="Arial" w:eastAsia="Times New Roman" w:hAnsi="Arial" w:cs="Arial"/>
          <w:color w:val="333333"/>
          <w:sz w:val="18"/>
          <w:szCs w:val="18"/>
          <w:lang w:val="en"/>
        </w:rPr>
        <w:t xml:space="preserve">Additional incentives may be available for employees who participate in certain health-related activities that obtain points on the Blue Cross of Rhode Island portal.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1E06D5">
        <w:rPr>
          <w:rFonts w:ascii="Arial" w:eastAsia="Times New Roman" w:hAnsi="Arial" w:cs="Arial"/>
          <w:b/>
          <w:color w:val="333333"/>
          <w:sz w:val="18"/>
          <w:szCs w:val="18"/>
          <w:lang w:val="en"/>
        </w:rPr>
        <w:t>Kellie Mackisey at extension 6403.</w:t>
      </w:r>
    </w:p>
    <w:p w:rsidR="001E06D5" w:rsidRP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1E06D5">
        <w:rPr>
          <w:rFonts w:ascii="Arial" w:eastAsia="Times New Roman" w:hAnsi="Arial" w:cs="Arial"/>
          <w:color w:val="333333"/>
          <w:sz w:val="18"/>
          <w:szCs w:val="18"/>
          <w:lang w:val="en"/>
        </w:rPr>
        <w:t>The information from your Health Risk Assessment and the results from your biometric screenings will be used to provide you with information to help you understand your current health and potential risks, and may also be used to offer you services through the wellness programming (for example, you may be outreached to by a BCBSRI health coach?).  You also are encouraged to share your results or concerns with your own doctor.</w:t>
      </w:r>
    </w:p>
    <w:p w:rsidR="001E06D5" w:rsidRP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Pr="001E06D5" w:rsidRDefault="001E06D5" w:rsidP="001E06D5">
      <w:pPr>
        <w:shd w:val="clear" w:color="auto" w:fill="FFFFFF"/>
        <w:spacing w:before="192" w:after="48" w:line="384" w:lineRule="atLeast"/>
        <w:ind w:left="249" w:right="244"/>
        <w:contextualSpacing/>
        <w:jc w:val="center"/>
        <w:outlineLvl w:val="2"/>
        <w:rPr>
          <w:rFonts w:ascii="Arial" w:eastAsia="Times New Roman" w:hAnsi="Arial" w:cs="Arial"/>
          <w:color w:val="000064"/>
          <w:sz w:val="25"/>
          <w:szCs w:val="25"/>
          <w:lang w:val="en"/>
        </w:rPr>
      </w:pPr>
      <w:r w:rsidRPr="001E06D5">
        <w:rPr>
          <w:rFonts w:ascii="Arial" w:eastAsia="Times New Roman" w:hAnsi="Arial" w:cs="Arial"/>
          <w:color w:val="000064"/>
          <w:sz w:val="25"/>
          <w:szCs w:val="25"/>
          <w:lang w:val="en"/>
        </w:rPr>
        <w:t>Protections from Disclosure of Medical Information</w:t>
      </w: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1E06D5">
        <w:rPr>
          <w:rFonts w:ascii="Arial" w:eastAsia="Times New Roman" w:hAnsi="Arial" w:cs="Arial"/>
          <w:color w:val="333333"/>
          <w:sz w:val="18"/>
          <w:szCs w:val="18"/>
          <w:lang w:val="en"/>
        </w:rPr>
        <w:t xml:space="preserve">We are required by law to maintain the privacy and security of your personally identifiable health information. BCBSRI collects and maintains all HRA and biometric data. Bryant University does not receive personally identifiable health information from BCBSRI. Only aggregate, de-identified information is shared with </w:t>
      </w:r>
      <w:r w:rsidRPr="001E06D5">
        <w:rPr>
          <w:rFonts w:ascii="Arial" w:eastAsia="Times New Roman" w:hAnsi="Arial" w:cs="Arial"/>
          <w:b/>
          <w:color w:val="333333"/>
          <w:sz w:val="18"/>
          <w:szCs w:val="18"/>
          <w:lang w:val="en"/>
        </w:rPr>
        <w:t>Bryant University Good Cent$ Wellness Program</w:t>
      </w:r>
      <w:r w:rsidRPr="001E06D5">
        <w:rPr>
          <w:rFonts w:ascii="Arial" w:eastAsia="Times New Roman" w:hAnsi="Arial" w:cs="Arial"/>
          <w:color w:val="333333"/>
          <w:sz w:val="18"/>
          <w:szCs w:val="18"/>
          <w:lang w:val="en"/>
        </w:rPr>
        <w:t xml:space="preserve"> by BCBSRI for the purpose of designing programming based on identified health risks in the workplace. BCBSRI does share individual’s program participation with Bryant University for the ability to fulfill incentives. </w:t>
      </w:r>
      <w:r w:rsidRPr="001E06D5">
        <w:rPr>
          <w:rFonts w:ascii="Arial" w:eastAsia="Times New Roman" w:hAnsi="Arial" w:cs="Arial"/>
          <w:b/>
          <w:color w:val="333333"/>
          <w:sz w:val="18"/>
          <w:szCs w:val="18"/>
          <w:lang w:val="en"/>
        </w:rPr>
        <w:t>Bryant University Good Cent$ Wellness Program</w:t>
      </w:r>
      <w:r w:rsidRPr="001E06D5">
        <w:rPr>
          <w:rFonts w:ascii="Arial" w:eastAsia="Times New Roman" w:hAnsi="Arial" w:cs="Arial"/>
          <w:color w:val="333333"/>
          <w:sz w:val="18"/>
          <w:szCs w:val="18"/>
          <w:lang w:val="en"/>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rsidR="001E06D5" w:rsidRPr="00621473"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621473">
        <w:rPr>
          <w:rFonts w:ascii="Arial" w:eastAsia="Times New Roman" w:hAnsi="Arial" w:cs="Arial"/>
          <w:color w:val="333333"/>
          <w:sz w:val="18"/>
          <w:szCs w:val="18"/>
          <w:lang w:val="en"/>
        </w:rPr>
        <w:t>Your health information will not be sold, exchanged, transferred, or otherwise disclosed except to the extent permitted by law to carry out specific activities related to the wellness program, and you will not be asked or re</w:t>
      </w:r>
      <w:r w:rsidRPr="00621473">
        <w:rPr>
          <w:rFonts w:ascii="Arial" w:eastAsia="Times New Roman" w:hAnsi="Arial" w:cs="Arial"/>
          <w:color w:val="333333"/>
          <w:sz w:val="18"/>
          <w:szCs w:val="18"/>
          <w:lang w:val="en"/>
        </w:rPr>
        <w:lastRenderedPageBreak/>
        <w:t xml:space="preserv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w:t>
      </w:r>
    </w:p>
    <w:p w:rsidR="001E06D5" w:rsidRPr="00621473"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621473">
        <w:rPr>
          <w:rFonts w:ascii="Arial" w:eastAsia="Times New Roman" w:hAnsi="Arial" w:cs="Arial"/>
          <w:color w:val="333333"/>
          <w:sz w:val="18"/>
          <w:szCs w:val="18"/>
          <w:lang w:val="en"/>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rsidR="001E06D5" w:rsidRPr="00621473"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p>
    <w:p w:rsidR="001E06D5" w:rsidRPr="00621473"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621473">
        <w:rPr>
          <w:rFonts w:ascii="Arial" w:eastAsia="Times New Roman" w:hAnsi="Arial" w:cs="Arial"/>
          <w:color w:val="333333"/>
          <w:sz w:val="18"/>
          <w:szCs w:val="18"/>
          <w:lang w:val="en"/>
        </w:rPr>
        <w:t>You may not be discriminated against in employment because of the medical information you provide as part of participating in the wellness program, nor may you be subjected to retaliation if you choose not to participate.</w:t>
      </w:r>
    </w:p>
    <w:p w:rsidR="001E06D5" w:rsidRPr="00621473" w:rsidRDefault="001E06D5" w:rsidP="001E06D5">
      <w:pPr>
        <w:shd w:val="clear" w:color="auto" w:fill="FFFFFF"/>
        <w:spacing w:before="96" w:after="192" w:line="384" w:lineRule="atLeast"/>
        <w:ind w:left="249" w:right="244"/>
        <w:contextualSpacing/>
        <w:rPr>
          <w:rFonts w:ascii="Arial" w:eastAsia="Times New Roman" w:hAnsi="Arial" w:cs="Arial"/>
          <w:color w:val="333333"/>
          <w:sz w:val="18"/>
          <w:szCs w:val="18"/>
          <w:lang w:val="en"/>
        </w:rPr>
      </w:pPr>
      <w:r w:rsidRPr="00621473">
        <w:rPr>
          <w:rFonts w:ascii="Arial" w:eastAsia="Times New Roman" w:hAnsi="Arial" w:cs="Arial"/>
          <w:color w:val="333333"/>
          <w:sz w:val="18"/>
          <w:szCs w:val="18"/>
          <w:lang w:val="en"/>
        </w:rPr>
        <w:t xml:space="preserve">If you have questions or concerns regarding this notice, or about protections against discrimination and retaliation, please contact </w:t>
      </w:r>
      <w:r>
        <w:rPr>
          <w:rFonts w:ascii="Arial" w:eastAsia="Times New Roman" w:hAnsi="Arial" w:cs="Arial"/>
          <w:color w:val="333333"/>
          <w:sz w:val="18"/>
          <w:szCs w:val="18"/>
          <w:lang w:val="en"/>
        </w:rPr>
        <w:t>Cathy Currie at 401-232-6365</w:t>
      </w:r>
      <w:r w:rsidRPr="00621473">
        <w:rPr>
          <w:rFonts w:ascii="Arial" w:eastAsia="Times New Roman" w:hAnsi="Arial" w:cs="Arial"/>
          <w:color w:val="333333"/>
          <w:sz w:val="18"/>
          <w:szCs w:val="18"/>
          <w:lang w:val="en"/>
        </w:rPr>
        <w:t>.</w:t>
      </w:r>
    </w:p>
    <w:p w:rsidR="00927F70" w:rsidRDefault="00927F70">
      <w:pPr>
        <w:contextualSpacing/>
      </w:pPr>
    </w:p>
    <w:sectPr w:rsidR="0092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D5"/>
    <w:rsid w:val="001E06D5"/>
    <w:rsid w:val="006905C2"/>
    <w:rsid w:val="0092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A12D-A6A8-4EF3-BBAF-C74073BC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F73F52D6128419F5E322C57A648AD" ma:contentTypeVersion="11" ma:contentTypeDescription="Create a new document." ma:contentTypeScope="" ma:versionID="25a37a27cc89e912e0bb66a2a118f579">
  <xsd:schema xmlns:xsd="http://www.w3.org/2001/XMLSchema" xmlns:xs="http://www.w3.org/2001/XMLSchema" xmlns:p="http://schemas.microsoft.com/office/2006/metadata/properties" xmlns:ns2="0818b655-5fae-418e-b796-470c49c51e25" xmlns:ns3="d9957a0f-a94a-4eec-9adb-f0956f346035" targetNamespace="http://schemas.microsoft.com/office/2006/metadata/properties" ma:root="true" ma:fieldsID="69d0357a88de5a2562bbe8fee661fbaa" ns2:_="" ns3:_="">
    <xsd:import namespace="0818b655-5fae-418e-b796-470c49c51e25"/>
    <xsd:import namespace="d9957a0f-a94a-4eec-9adb-f0956f346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b655-5fae-418e-b796-470c49c51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7a0f-a94a-4eec-9adb-f0956f3460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B986B-F926-4025-A8F7-E7C5BAD25D43}"/>
</file>

<file path=customXml/itemProps2.xml><?xml version="1.0" encoding="utf-8"?>
<ds:datastoreItem xmlns:ds="http://schemas.openxmlformats.org/officeDocument/2006/customXml" ds:itemID="{8215C36D-C8E0-4A8A-9476-1D8D739D47C8}"/>
</file>

<file path=customXml/itemProps3.xml><?xml version="1.0" encoding="utf-8"?>
<ds:datastoreItem xmlns:ds="http://schemas.openxmlformats.org/officeDocument/2006/customXml" ds:itemID="{F4BC28D4-A89A-43E7-BBA6-AAA65D44CA75}"/>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Shahara Proulx-Tracy</dc:creator>
  <cp:keywords/>
  <dc:description/>
  <cp:lastModifiedBy>Elizabeth Canesi</cp:lastModifiedBy>
  <cp:revision>2</cp:revision>
  <dcterms:created xsi:type="dcterms:W3CDTF">2018-01-02T00:44:00Z</dcterms:created>
  <dcterms:modified xsi:type="dcterms:W3CDTF">2018-01-02T00:44:00Z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0x010100847F73F52D6128419F5E322C57A648AD</vt:lpwstr>
  </property>
</Properties>
</file>